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33" w:rsidRPr="00A8791D" w:rsidRDefault="00C764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Pr="00A879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Мемлекеттік кірістер органдары шешімдерінің нысандарын және бақыланатын шетелдік компанияға қатысу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A879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(бақылау ж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асау</w:t>
      </w:r>
      <w:r w:rsidRPr="00A879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)</w:t>
      </w:r>
    </w:p>
    <w:p w:rsidR="00F07833" w:rsidRDefault="00C764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879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туралы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өтініш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нысанын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екіту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туралы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F07833" w:rsidRDefault="00C764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Республикасы Қаржы министрі бұйрығына</w:t>
      </w:r>
    </w:p>
    <w:p w:rsidR="00F07833" w:rsidRPr="00A8791D" w:rsidRDefault="00C764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(бұдан әрі – Жоба)</w:t>
      </w:r>
    </w:p>
    <w:p w:rsidR="00F07833" w:rsidRDefault="00F07833">
      <w:pPr>
        <w:pStyle w:val="25"/>
        <w:pBdr>
          <w:bottom w:val="single" w:sz="4" w:space="31" w:color="FFFFFF"/>
        </w:pBd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07833" w:rsidRDefault="00C764B6">
      <w:pPr>
        <w:pStyle w:val="25"/>
        <w:pBdr>
          <w:bottom w:val="single" w:sz="4" w:space="31" w:color="FFFFFF"/>
        </w:pBd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</w:p>
    <w:p w:rsidR="00F07833" w:rsidRDefault="00F07833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07833" w:rsidRDefault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C764B6">
        <w:rPr>
          <w:rFonts w:ascii="Times New Roman" w:hAnsi="Times New Roman"/>
          <w:b/>
          <w:color w:val="000000"/>
          <w:sz w:val="28"/>
          <w:szCs w:val="28"/>
          <w:lang w:val="kk-KZ"/>
        </w:rPr>
        <w:t>Әзірлеуші</w:t>
      </w:r>
      <w:r w:rsidR="00C764B6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мемлекеттік органның атауы</w:t>
      </w:r>
    </w:p>
    <w:p w:rsidR="00A8791D" w:rsidRDefault="00C764B6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</w:t>
      </w:r>
      <w:r>
        <w:rPr>
          <w:rFonts w:ascii="Times New Roman" w:hAnsi="Times New Roman"/>
          <w:sz w:val="28"/>
          <w:szCs w:val="28"/>
          <w:lang w:val="kk-KZ"/>
        </w:rPr>
        <w:t xml:space="preserve"> Республикасының Қаржы министрлігі.</w:t>
      </w:r>
    </w:p>
    <w:p w:rsidR="00A8791D" w:rsidRDefault="00A8791D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2.</w:t>
      </w:r>
      <w:r w:rsidR="00C764B6">
        <w:rPr>
          <w:rFonts w:ascii="Times New Roman" w:hAnsi="Times New Roman"/>
          <w:b/>
          <w:sz w:val="28"/>
          <w:szCs w:val="28"/>
          <w:lang w:val="kk-KZ"/>
        </w:rPr>
        <w:t>Тиісті құқықтық актілерге, Қазақстан Республикасы ратификациялаған халықаралық шарттардың нормаларына, Қазақстан Республикасы қатысушысы болып табылатын халықаралық ұйымда</w:t>
      </w:r>
      <w:r w:rsidR="00C764B6">
        <w:rPr>
          <w:rFonts w:ascii="Times New Roman" w:hAnsi="Times New Roman"/>
          <w:b/>
          <w:sz w:val="28"/>
          <w:szCs w:val="28"/>
          <w:lang w:val="kk-KZ"/>
        </w:rPr>
        <w:t>рдың шешімдеріне, Президенттің, Президент Әкімшілігі, Үкімет және Үкімет Аппараты басшылығының хаттамалық және өзге де тапсырмаларына сілтеме жасай отырып, нормативтік құқықтық акті жобасын қабылдау үшін негіздемелер және/немесе оны қабылдау қажеттілігінің</w:t>
      </w:r>
      <w:r w:rsidR="00C764B6">
        <w:rPr>
          <w:rFonts w:ascii="Times New Roman" w:hAnsi="Times New Roman"/>
          <w:b/>
          <w:sz w:val="28"/>
          <w:szCs w:val="28"/>
          <w:lang w:val="kk-KZ"/>
        </w:rPr>
        <w:t xml:space="preserve"> басқа да негіздемелері</w:t>
      </w:r>
    </w:p>
    <w:p w:rsidR="00F07833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Жоба 49-баптың 4-тармағының төртінші бөлігіне, 83-баптың 1-тармағының 3) тармақшасына, 113-баптың 2-тармағына және Қазақстан Республикасы Салық Кодексінің 336-бабына сәйкес әзірленді.</w:t>
      </w:r>
    </w:p>
    <w:p w:rsidR="00F07833" w:rsidRPr="00A8791D" w:rsidRDefault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>3.</w:t>
      </w:r>
      <w:r w:rsidR="00C764B6"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Нормативтік құқықтық актінің жобасы бойынша қаржылық шығындардың қажеттілігі және оның қаржылық қамтамасыз етілуі, оның ішінде қаржыландыру көзі, сондай – ақ бюджет заңнамасында көзделген жағдайда-тиісті бюджет комиссиясының шешімі (тиісті есептеулер, қарж</w:t>
      </w:r>
      <w:r w:rsidR="00C764B6"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ыландыру көзіне сілтеме, тиісті бюджет комиссиясы шешімінің көшірмесі міндетті түрде түсіндірме жазбаға қоса беріледі).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республикалық бюджеттен қаражат бөлуді талап етпейді</w:t>
      </w:r>
      <w:r w:rsidR="00A8791D">
        <w:rPr>
          <w:rFonts w:ascii="Times New Roman" w:hAnsi="Times New Roman"/>
          <w:sz w:val="28"/>
          <w:szCs w:val="28"/>
          <w:lang w:val="kk-KZ"/>
        </w:rPr>
        <w:t>.</w:t>
      </w:r>
    </w:p>
    <w:p w:rsidR="00A8791D" w:rsidRDefault="00A8791D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 w:rsidR="00C764B6"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Нормативтік құқықтық актінің жобасы қабылданған жағдайда халықты</w:t>
      </w:r>
      <w:r w:rsidR="00C764B6"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ң кең ауқымы үшін болжамды әлеуметтік-экономикалық, құқықтық және (немесе) өзге де салдарлар, сондай-ақ нормативтік құқықтық акт жобасының ережелерінің ұлттық қауіпсіздікті қамтамасыз етуге әсері.</w:t>
      </w:r>
    </w:p>
    <w:p w:rsidR="00F07833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Жобаны қабылдау теріс әлеуметтік-экономикалық және/немесе қ</w:t>
      </w: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ұқықтық салдарға әкеп соқпайды.</w:t>
      </w:r>
    </w:p>
    <w:p w:rsidR="00F07833" w:rsidRDefault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5.</w:t>
      </w:r>
      <w:r w:rsidR="00C764B6">
        <w:rPr>
          <w:rFonts w:ascii="Times New Roman" w:hAnsi="Times New Roman"/>
          <w:b/>
          <w:sz w:val="28"/>
          <w:szCs w:val="28"/>
          <w:lang w:val="kk-KZ"/>
        </w:rPr>
        <w:t>Нақты мақсаттар мен күтілетін нәтижелердің мерзімдері</w:t>
      </w:r>
    </w:p>
    <w:p w:rsidR="00F07833" w:rsidRDefault="00C764B6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Жобаның мақсаты мемлекеттік кірістер органдары шешімдерінің нысандарын және бақыланатын шетелдік компанияға қатысу(бақылау) мәселесі бойынша өтінішті іске асыру болып </w:t>
      </w:r>
      <w:r>
        <w:rPr>
          <w:rFonts w:ascii="Times New Roman" w:hAnsi="Times New Roman"/>
          <w:sz w:val="28"/>
          <w:szCs w:val="28"/>
          <w:lang w:val="kk-KZ"/>
        </w:rPr>
        <w:t>табылады.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Күтілетін нәтиже салық төлеушілер мен Мемлекеттік кірістер органдары арасындағы сенім дәрежесін жақсарту, салықтық әкімшілендіруді жетілдіру, салық төлеушінің қызметіне шамадан тыс араласуды болдырмау, сондай-ақ </w:t>
      </w:r>
      <w:r>
        <w:rPr>
          <w:rFonts w:ascii="Times New Roman" w:hAnsi="Times New Roman"/>
          <w:sz w:val="28"/>
          <w:szCs w:val="28"/>
          <w:lang w:val="kk-KZ"/>
        </w:rPr>
        <w:lastRenderedPageBreak/>
        <w:t>салық төлеушілерді салық міндеттем</w:t>
      </w:r>
      <w:r>
        <w:rPr>
          <w:rFonts w:ascii="Times New Roman" w:hAnsi="Times New Roman"/>
          <w:sz w:val="28"/>
          <w:szCs w:val="28"/>
          <w:lang w:val="kk-KZ"/>
        </w:rPr>
        <w:t>елерін өз бетінше орындауға ынталандыру болып табылады, нәтижесінде көлеңкелі экономика үлесінің қысқаруына әкеп соғады.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5. Жекелеген әлеуетті стейкхолдерлер (мемлекет, бизнес-қоғамдастық, халық, өзге де санаттар) үшін оларды егжей-тегжейлі сипаттай отырып</w:t>
      </w: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, күтілетін нәтижелердің нақты мақсаттары мен мерзімдері.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Жобаны қабылдаудың мақсаты мемлекеттік кірістер органдары шешімдерінің нысандарын және бақыланатын шетелдік компанияға қатысу (бақылау) мәселесі бойынша өтініштерді бекіту болып табылады.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 xml:space="preserve">Күтілетін нәтиже салық төлеушілер мен Мемлекеттік кірістер органдары арасындағы сенім дәрежесін жақсарту, салықтық әкімшілендіруді жетілдіру, салық төлеушінің қызметіне шамадан тыс араласуды болдырмау, сондай-ақ салық төлеушілерді салық міндеттемелерін өз </w:t>
      </w: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бетінше орындауға ынталандыру болып табылады, нәтижесінде көлеңкелі экономика үлесінің қысқаруына әкеп соғады.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 xml:space="preserve">6. Заңнаманы нормативтік құқықтық актінің енгізілетін жобасына сәйкес келтіру қажеттілігі (басқа құқықтық актілерді қабылдау немесе қолданыстағы </w:t>
      </w: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актілерге өзгерістер және (немесе) толықтырулар енгізу талап етілетінін көрсету) не мұндай қажеттіліктің болмауы.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Қажет емес.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7. Нормативтік құқықтық акт жобасының Қазақстан Республикасы ратификациялаған халықаралық шарттарға және Қазақстан Республикасы қа</w:t>
      </w: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тысушысы болып табылатын халықаралық ұйымдардың шешімдеріне сәйкестігі.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color w:val="000000"/>
          <w:sz w:val="28"/>
          <w:lang w:val="kk-KZ"/>
        </w:rPr>
        <w:t>Сәйкес келеді.</w:t>
      </w:r>
    </w:p>
    <w:p w:rsidR="00A8791D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lang w:val="kk-KZ"/>
        </w:rPr>
      </w:pP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8.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</w:t>
      </w:r>
      <w:r w:rsidRPr="00A8791D">
        <w:rPr>
          <w:rFonts w:ascii="Times New Roman" w:eastAsia="Times New Roman" w:hAnsi="Times New Roman"/>
          <w:b/>
          <w:color w:val="000000"/>
          <w:sz w:val="28"/>
          <w:lang w:val="kk-KZ"/>
        </w:rPr>
        <w:t>емесе) ұлғаюын растайтын есеп айырысу нәтижелері.</w:t>
      </w:r>
    </w:p>
    <w:p w:rsidR="00F07833" w:rsidRDefault="00C764B6" w:rsidP="00A8791D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/>
          <w:color w:val="000000"/>
          <w:sz w:val="28"/>
        </w:rPr>
        <w:t>Қажет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емес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F07833" w:rsidRDefault="00F078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</w:p>
    <w:p w:rsidR="00F07833" w:rsidRDefault="00C764B6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Consolas" w:hAnsi="Times New Roman"/>
          <w:b/>
          <w:bCs/>
          <w:sz w:val="28"/>
          <w:szCs w:val="28"/>
          <w:lang w:val="kk-KZ"/>
        </w:rPr>
      </w:pP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>Қазақстан</w:t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 xml:space="preserve"> Республикасының </w:t>
      </w:r>
    </w:p>
    <w:p w:rsidR="00F07833" w:rsidRDefault="00C764B6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rPr>
          <w:rFonts w:ascii="Times New Roman" w:eastAsia="Consolas" w:hAnsi="Times New Roman"/>
          <w:b/>
          <w:bCs/>
          <w:sz w:val="28"/>
          <w:szCs w:val="28"/>
          <w:lang w:val="kk-KZ"/>
        </w:rPr>
      </w:pP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>Қаржы</w:t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 xml:space="preserve"> министрі</w:t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ab/>
        <w:t xml:space="preserve">                </w:t>
      </w:r>
      <w:r>
        <w:rPr>
          <w:rFonts w:ascii="Times New Roman" w:eastAsia="Consolas" w:hAnsi="Times New Roman"/>
          <w:b/>
          <w:bCs/>
          <w:sz w:val="28"/>
          <w:szCs w:val="28"/>
          <w:lang w:val="kk-KZ"/>
        </w:rPr>
        <w:tab/>
        <w:t xml:space="preserve">                 М. Тәкиев</w:t>
      </w:r>
    </w:p>
    <w:sectPr w:rsidR="00F078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33" w:rsidRDefault="00C764B6">
      <w:pPr>
        <w:spacing w:after="0" w:line="240" w:lineRule="auto"/>
      </w:pPr>
      <w:r>
        <w:separator/>
      </w:r>
    </w:p>
  </w:endnote>
  <w:endnote w:type="continuationSeparator" w:id="0">
    <w:p w:rsidR="00F07833" w:rsidRDefault="00C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33" w:rsidRDefault="00F07833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33" w:rsidRDefault="00F07833">
    <w:pPr>
      <w:pStyle w:val="af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33" w:rsidRDefault="00F07833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33" w:rsidRDefault="00C764B6">
      <w:pPr>
        <w:spacing w:after="0" w:line="240" w:lineRule="auto"/>
      </w:pPr>
      <w:r>
        <w:separator/>
      </w:r>
    </w:p>
  </w:footnote>
  <w:footnote w:type="continuationSeparator" w:id="0">
    <w:p w:rsidR="00F07833" w:rsidRDefault="00C76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318419965"/>
      <w:docPartObj>
        <w:docPartGallery w:val="Page Numbers (Top of Page)"/>
        <w:docPartUnique/>
      </w:docPartObj>
    </w:sdtPr>
    <w:sdtEndPr/>
    <w:sdtContent>
      <w:p w:rsidR="00F07833" w:rsidRDefault="00C764B6">
        <w:pPr>
          <w:pStyle w:val="afc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A8791D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07833" w:rsidRDefault="00F07833">
    <w:pPr>
      <w:pStyle w:val="afc"/>
      <w:jc w:val="center"/>
      <w:rPr>
        <w:rFonts w:ascii="Times New Roman" w:hAnsi="Times New Roman"/>
        <w:sz w:val="28"/>
        <w:szCs w:val="28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970032"/>
      <w:docPartObj>
        <w:docPartGallery w:val="Page Numbers (Top of Page)"/>
        <w:docPartUnique/>
      </w:docPartObj>
    </w:sdtPr>
    <w:sdtEndPr/>
    <w:sdtContent>
      <w:p w:rsidR="00F07833" w:rsidRDefault="00C764B6">
        <w:pPr>
          <w:pStyle w:val="afc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A8791D">
          <w:rPr>
            <w:rFonts w:ascii="Times New Roman" w:hAnsi="Times New Roman"/>
            <w:noProof/>
            <w:sz w:val="28"/>
            <w:szCs w:val="28"/>
          </w:rPr>
          <w:t>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07833" w:rsidRDefault="00F07833">
    <w:pPr>
      <w:pStyle w:val="af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833" w:rsidRDefault="00F07833">
    <w:pPr>
      <w:pStyle w:val="a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33"/>
    <w:rsid w:val="001F1D63"/>
    <w:rsid w:val="00A8791D"/>
    <w:rsid w:val="00C764B6"/>
    <w:rsid w:val="00F0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163E"/>
  <w15:docId w15:val="{BFB5CF01-5212-4D52-B594-94DBD947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uiPriority w:val="99"/>
    <w:unhideWhenUsed/>
    <w:rPr>
      <w:color w:val="0000FF"/>
      <w:u w:val="single"/>
    </w:rPr>
  </w:style>
  <w:style w:type="character" w:customStyle="1" w:styleId="af4">
    <w:name w:val="Обычный (веб) Знак"/>
    <w:link w:val="af5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rmal (Web)"/>
    <w:basedOn w:val="a"/>
    <w:link w:val="af4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6">
    <w:name w:val="No Spacing"/>
    <w:uiPriority w:val="1"/>
    <w:qFormat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f7">
    <w:name w:val="Plain Text"/>
    <w:basedOn w:val="a"/>
    <w:link w:val="af8"/>
    <w:semiHidden/>
    <w:unhideWhenUsed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semiHidden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character" w:styleId="aff0">
    <w:name w:val="line number"/>
    <w:basedOn w:val="a0"/>
    <w:uiPriority w:val="99"/>
    <w:semiHidden/>
    <w:unhideWhenUsed/>
  </w:style>
  <w:style w:type="paragraph" w:customStyle="1" w:styleId="Text">
    <w:name w:val="Text"/>
    <w:basedOn w:val="a"/>
    <w:link w:val="Text0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</w:rPr>
  </w:style>
  <w:style w:type="character" w:customStyle="1" w:styleId="Text0">
    <w:name w:val="Text Знак"/>
    <w:link w:val="Text"/>
    <w:rPr>
      <w:rFonts w:ascii="Times New Roman" w:eastAsia="Times New Roman" w:hAnsi="Times New Roman" w:cs="Times New Roman"/>
      <w:sz w:val="24"/>
      <w:szCs w:val="20"/>
    </w:rPr>
  </w:style>
  <w:style w:type="paragraph" w:customStyle="1" w:styleId="pc">
    <w:name w:val="pc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</w:style>
  <w:style w:type="character" w:styleId="aff1">
    <w:name w:val="Emphasis"/>
    <w:basedOn w:val="a0"/>
    <w:uiPriority w:val="20"/>
    <w:qFormat/>
    <w:rPr>
      <w:i/>
      <w:iCs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Calibri" w:eastAsia="Calibri" w:hAnsi="Calibri" w:cs="Times New Roman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C115604E-FB1F-4F57-9190-90810BA4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Олжас Тлеубергенов</dc:creator>
  <cp:lastModifiedBy>Роза Жунисбекова Эпизотовна</cp:lastModifiedBy>
  <cp:revision>2</cp:revision>
  <dcterms:created xsi:type="dcterms:W3CDTF">2025-08-12T07:43:00Z</dcterms:created>
  <dcterms:modified xsi:type="dcterms:W3CDTF">2025-08-12T07:43:00Z</dcterms:modified>
</cp:coreProperties>
</file>