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Мемлекеттік кірістер органдары шешімдерінің нысандарын және бақыланатын шетелдік компанияға қатысу (бақылау ) мәселесі бойынша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өтініш нысанын бекіту туралы»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бұйрық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жобасын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қабылдаудың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мүмкін болатын қоғамдық-саяси, құқықтық, ақпараттық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және өзге де салдарын</w:t>
      </w:r>
      <w:r/>
    </w:p>
    <w:p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БАҒАЛАУ</w:t>
      </w:r>
      <w:r/>
    </w:p>
    <w:p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  <w:r>
        <w:rPr>
          <w:rFonts w:ascii="Times New Roman" w:hAnsi="Times New Roman"/>
          <w:sz w:val="24"/>
          <w:szCs w:val="28"/>
          <w:highlight w:val="yellow"/>
          <w:lang w:val="kk-KZ"/>
        </w:rPr>
      </w:r>
      <w:r/>
    </w:p>
    <w:p>
      <w:pPr>
        <w:ind w:left="0" w:firstLine="0"/>
        <w:jc w:val="both"/>
        <w:tabs>
          <w:tab w:val="left" w:pos="1134" w:leader="none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1. Қоғамдық-саяси салдарын бағалау: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val="kk-KZ"/>
        </w:rPr>
        <w:pBdr>
          <w:bottom w:val="single" w:color="FFFFFF" w:sz="4" w:space="31"/>
        </w:pBdr>
      </w:pPr>
      <w:r>
        <w:rPr>
          <w:rFonts w:ascii="Times New Roman" w:hAnsi="Times New Roman"/>
          <w:sz w:val="28"/>
          <w:szCs w:val="28"/>
          <w:lang w:val="kk-KZ"/>
        </w:rPr>
        <w:t xml:space="preserve">Жоба азаматтардың конституциялық құқықтары мен бостандықтарын бұзбайды және салықтық әкімшілендірудің ашықтығын арттыруға бағытталған. Ол тек қана </w:t>
      </w: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</w:t>
      </w:r>
      <w:r>
        <w:rPr>
          <w:rFonts w:ascii="Times New Roman" w:hAnsi="Times New Roman"/>
          <w:sz w:val="28"/>
          <w:szCs w:val="28"/>
          <w:lang w:val="kk-KZ"/>
        </w:rPr>
        <w:t xml:space="preserve">ың резиденті болып табылатын заңды және жеке тұлғаға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қатысты.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val="kk-KZ" w:eastAsia="ru-RU"/>
        </w:rPr>
        <w:pBdr>
          <w:bottom w:val="single" w:color="FFFFFF" w:sz="4" w:space="31"/>
        </w:pBdr>
      </w:pPr>
      <w:r>
        <w:rPr>
          <w:rFonts w:ascii="Times New Roman" w:hAnsi="Times New Roman"/>
          <w:sz w:val="28"/>
          <w:szCs w:val="28"/>
          <w:lang w:val="kk-KZ"/>
        </w:rPr>
        <w:t xml:space="preserve">Жобаны қабылдау қоғамда әлеуметтік шиеленіс немесе наразылық тудырмайды. </w:t>
      </w:r>
      <w:r>
        <w:rPr>
          <w:rFonts w:ascii="Times New Roman" w:hAnsi="Times New Roman" w:eastAsia="Times New Roman"/>
          <w:sz w:val="28"/>
          <w:szCs w:val="28"/>
          <w:lang w:val="kk-KZ" w:eastAsia="ru-RU"/>
        </w:rPr>
        <w:t xml:space="preserve">Мұны бизнес қауымдастығы, оның ішінде шағын және орта бизнес өкілдері де салықтар мен бюджетке төленетін төлемдерді төлеу бойынша салық</w:t>
      </w:r>
      <w:r>
        <w:rPr>
          <w:rFonts w:ascii="Times New Roman" w:hAnsi="Times New Roman" w:eastAsia="Times New Roman"/>
          <w:sz w:val="28"/>
          <w:szCs w:val="28"/>
          <w:lang w:val="kk-KZ" w:eastAsia="ru-RU"/>
        </w:rPr>
        <w:t xml:space="preserve">тық </w:t>
      </w:r>
      <w:r>
        <w:rPr>
          <w:rFonts w:ascii="Times New Roman" w:hAnsi="Times New Roman" w:eastAsia="Times New Roman"/>
          <w:sz w:val="28"/>
          <w:szCs w:val="28"/>
          <w:lang w:val="kk-KZ" w:eastAsia="ru-RU"/>
        </w:rPr>
        <w:t xml:space="preserve">міндеттемелерін орындаудағы уақыт пен шығындардың қысқаруына байланысты оң қабылдауы мүмкін.</w:t>
      </w:r>
      <w:r>
        <w:rPr>
          <w:rFonts w:ascii="Times New Roman" w:hAnsi="Times New Roman" w:eastAsia="Times New Roman"/>
          <w:sz w:val="28"/>
          <w:szCs w:val="28"/>
          <w:lang w:val="kk-KZ" w:eastAsia="ru-RU"/>
        </w:rPr>
        <w:t xml:space="preserve"> 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val="kk-KZ" w:eastAsia="ru-RU"/>
        </w:rPr>
        <w:pBdr>
          <w:bottom w:val="single" w:color="FFFFFF" w:sz="4" w:space="28"/>
        </w:pBdr>
      </w:pPr>
      <w:r>
        <w:rPr>
          <w:rFonts w:ascii="Times New Roman" w:hAnsi="Times New Roman" w:eastAsia="Times New Roman"/>
          <w:sz w:val="28"/>
          <w:szCs w:val="28"/>
          <w:lang w:val="kk-KZ" w:eastAsia="ru-RU"/>
        </w:rPr>
      </w:r>
      <w:r>
        <w:rPr>
          <w:rFonts w:ascii="Times New Roman" w:hAnsi="Times New Roman" w:eastAsia="Times New Roman"/>
          <w:sz w:val="28"/>
          <w:szCs w:val="28"/>
          <w:lang w:val="kk-KZ" w:eastAsia="ru-RU"/>
        </w:rPr>
        <w:t xml:space="preserve">Жоба бизнесті жүргізуге, әсіресе адал салық төлеушілерге тең жағдай жасайды.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val="kk-KZ" w:eastAsia="ru-RU"/>
        </w:rPr>
        <w:pBdr>
          <w:bottom w:val="single" w:color="FFFFFF" w:sz="4" w:space="28"/>
        </w:pBdr>
      </w:pPr>
      <w:r>
        <w:rPr>
          <w:rFonts w:ascii="Times New Roman" w:hAnsi="Times New Roman" w:eastAsia="Times New Roman"/>
          <w:sz w:val="28"/>
          <w:szCs w:val="28"/>
          <w:lang w:val="kk-KZ" w:eastAsia="ru-RU"/>
        </w:rPr>
      </w:r>
      <w:r>
        <w:rPr>
          <w:rFonts w:ascii="Times New Roman" w:hAnsi="Times New Roman"/>
          <w:b/>
          <w:sz w:val="28"/>
          <w:szCs w:val="28"/>
          <w:lang w:val="kk-KZ"/>
        </w:rPr>
        <w:t xml:space="preserve">2.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Құқықтық салдарын бағалау: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val="kk-KZ"/>
        </w:rPr>
        <w:pBdr>
          <w:bottom w:val="single" w:color="FFFFFF" w:sz="4" w:space="31"/>
        </w:pBdr>
      </w:pPr>
      <w:r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</w:t>
      </w:r>
      <w:r>
        <w:rPr>
          <w:rFonts w:ascii="Times New Roman" w:hAnsi="Times New Roman"/>
          <w:sz w:val="28"/>
          <w:szCs w:val="28"/>
          <w:lang w:val="kk-KZ"/>
        </w:rPr>
        <w:t xml:space="preserve">касының жаңа Салық кодексінің </w:t>
      </w:r>
      <w:r>
        <w:rPr>
          <w:rFonts w:ascii="Times New Roman" w:hAnsi="Times New Roman"/>
          <w:sz w:val="28"/>
          <w:szCs w:val="28"/>
          <w:lang w:val="kk-KZ"/>
        </w:rPr>
        <w:t xml:space="preserve">336</w:t>
      </w:r>
      <w:r>
        <w:rPr>
          <w:rFonts w:ascii="Times New Roman" w:hAnsi="Times New Roman"/>
          <w:sz w:val="28"/>
          <w:szCs w:val="28"/>
          <w:lang w:val="kk-KZ"/>
        </w:rPr>
        <w:t xml:space="preserve">-бабын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іске асыру мақсатында әзірленген. Тиісінше, ол Конституцияға және қолданыстағы өзге де нормативтік құқықтық актілерге қайшы келмейді.</w:t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pBdr>
          <w:bottom w:val="single" w:color="FFFFFF" w:sz="4" w:space="31"/>
        </w:pBd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Атап айтқанда,</w:t>
      </w:r>
      <w:r>
        <w:rPr>
          <w:rFonts w:ascii="Times New Roman" w:hAnsi="Times New Roman" w:cs="Times New Roman" w:eastAsia="Times New Roman"/>
          <w:sz w:val="28"/>
        </w:rPr>
        <w:t xml:space="preserve"> салы</w:t>
      </w:r>
      <w:r>
        <w:rPr>
          <w:rFonts w:ascii="Times New Roman" w:hAnsi="Times New Roman" w:cs="Times New Roman" w:eastAsia="Times New Roman"/>
          <w:sz w:val="28"/>
        </w:rPr>
        <w:t xml:space="preserve">қтық әкімшілендіруді жетілдіру,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салық заңнамасын бұзушылықтарды жою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хабарламасы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бақыланатын шетелдік компанияға қатысу (бақылау)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өтініші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бақыланатын шетелдік компанияда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тікелей немесе жанама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немесе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конструктивті түрде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қатысу үлестерін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иеленетін немесе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тікелей немесе жанама, немесе конструктивті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бақылауы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бар деп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салық төлеуші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резидент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ті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тан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итын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шешіммен қамтамасыз ету болып табылады. 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  <w:pBdr>
          <w:bottom w:val="single" w:color="FFFFFF" w:sz="4" w:space="28"/>
        </w:pBd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r>
      <w:r>
        <w:rPr>
          <w:rFonts w:ascii="Times New Roman" w:hAnsi="Times New Roman"/>
          <w:sz w:val="28"/>
          <w:szCs w:val="28"/>
          <w:lang w:val="kk-KZ"/>
        </w:rPr>
        <w:t xml:space="preserve">Сонымен қатар, бұл құқықтық сенімділікті арттырады және бизнеске әкімшілік жүктемені азайтады.</w:t>
      </w:r>
      <w:r>
        <w:rPr>
          <w:rFonts w:ascii="Times New Roman" w:hAnsi="Times New Roman"/>
          <w:b/>
          <w:sz w:val="28"/>
          <w:szCs w:val="28"/>
          <w:lang w:val="kk-KZ"/>
        </w:rPr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bottom w:val="single" w:color="FFFFFF" w:sz="4" w:space="28"/>
        </w:pBd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3.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Ақпараттық салдарын бағалау: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pBdr>
          <w:bottom w:val="single" w:color="FFFFFF" w:sz="4" w:space="28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Жоба бойынша ақпараттық салдарлар туындамайды, өйткені жоба хабарламаның нысанын, Мемлекеттік кірістер органдары шешімдерінің нысанын және салықтық әкімшілендіруді жетілдіру мақсатында бақыланатын шетелдік компанияға қатысу (бақылау) мәселесі бойынша өтіні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шті, Салық кодексінің баптарына сілтемені өзгерту бөлігінде жобаға өзгерістер енгізуді регламенттейді.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pBdr>
          <w:bottom w:val="single" w:color="FFFFFF" w:sz="4" w:space="28"/>
        </w:pBd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/>
          <w:b/>
          <w:sz w:val="28"/>
          <w:szCs w:val="28"/>
          <w:lang w:val="kk-KZ"/>
        </w:rPr>
        <w:t xml:space="preserve">4.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Өзге де салдарын бағалау: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pBdr>
          <w:bottom w:val="single" w:color="FFFFFF" w:sz="4" w:space="31"/>
        </w:pBd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  <w:szCs w:val="28"/>
          <w:lang w:val="kk-KZ"/>
        </w:rPr>
        <w:t xml:space="preserve">Жоба салық төлеушілер мен Мемлекеттік кірістер органдары арасындағы сенім дəрежесін арттыруға,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салықтық әкімшілендіруді жетілдіруге, салық төлеушінің қызметіне шамадан тыс араласуды болдырмауға, сондай-ақ салық төлеушілерді өз бетінше міндеттерін орындауғ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а ынталандыруға бағытталған</w:t>
      </w:r>
      <w:r>
        <w:rPr>
          <w:rFonts w:ascii="Times New Roman" w:hAnsi="Times New Roman" w:cs="Times New Roman" w:eastAsia="Times New Roman"/>
          <w:sz w:val="28"/>
          <w:szCs w:val="28"/>
          <w:lang w:val="kk-KZ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/>
        </w:rPr>
        <w:pBdr>
          <w:bottom w:val="single" w:color="FFFFFF" w:sz="4" w:space="31"/>
        </w:pBdr>
      </w:pPr>
      <w:r>
        <w:rPr>
          <w:rFonts w:ascii="Times New Roman" w:hAnsi="Times New Roman" w:cs="Times New Roman" w:eastAsia="Times New Roman"/>
          <w:sz w:val="28"/>
          <w:szCs w:val="28"/>
          <w:lang w:val="kk-KZ"/>
        </w:rPr>
        <w:t xml:space="preserve">Жоба бизнес-қоғамдастық пен салық органдарының өзара іс-қимылының болжамдылығы мен ашықтығын қамтамасыз етуге ықпал етеді. Бұл мемлекет </w:t>
      </w:r>
      <w:r>
        <w:rPr>
          <w:rFonts w:ascii="Times New Roman" w:hAnsi="Times New Roman" w:cs="Times New Roman" w:eastAsia="Times New Roman"/>
          <w:sz w:val="28"/>
          <w:szCs w:val="28"/>
          <w:lang w:val="kk-KZ"/>
        </w:rPr>
        <w:t xml:space="preserve">пен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салық төлеушілер</w:t>
      </w:r>
      <w:r>
        <w:rPr>
          <w:rFonts w:ascii="Times New Roman" w:hAnsi="Times New Roman" w:cs="Times New Roman" w:eastAsia="Times New Roman"/>
          <w:sz w:val="28"/>
          <w:szCs w:val="28"/>
          <w:lang w:val="kk-KZ"/>
        </w:rPr>
        <w:t xml:space="preserve"> арасындағы сенімді нығайтады.</w:t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pBdr>
          <w:bottom w:val="single" w:color="FFFFFF" w:sz="4" w:space="28"/>
        </w:pBdr>
      </w:pPr>
      <w:r>
        <w:rPr>
          <w:rFonts w:ascii="Times New Roman" w:hAnsi="Times New Roman" w:cs="Times New Roman" w:eastAsia="Times New Roman"/>
          <w:sz w:val="28"/>
          <w:szCs w:val="28"/>
          <w:lang w:val="kk-KZ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Қысқа мерзімді перспективада техникалық ақаулар немесе жекелеген пайдаланушылардың жүйеге наразылығы болуы мүмкін, бұл әзірлеушілерге техникалық қолдау көрсетудің күшейтілген қолдауын қажет етеді.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8"/>
          <w:szCs w:val="28"/>
          <w:highlight w:val="none"/>
        </w:rPr>
        <w:pBdr>
          <w:bottom w:val="single" w:color="FFFFFF" w:sz="4" w:space="28"/>
        </w:pBd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Ұзақ мерзімді перспективада жаңа Салық Кодексінің 336-бабын қолданудың тиімділігі мен сапасын арттыру күтілуде.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31"/>
        <w:contextualSpacing/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/>
        </w:rPr>
        <w:pBdr>
          <w:bottom w:val="single" w:color="FFFFFF" w:sz="4" w:space="28"/>
        </w:pBdr>
      </w:pPr>
      <w:r>
        <w:rPr>
          <w:rFonts w:ascii="Times New Roman" w:hAnsi="Times New Roman" w:cs="Times New Roman" w:eastAsia="Times New Roman"/>
          <w:sz w:val="28"/>
          <w:szCs w:val="28"/>
          <w:lang w:val="kk-KZ"/>
        </w:rPr>
      </w:r>
      <w:r>
        <w:rPr>
          <w:rFonts w:ascii="Times New Roman" w:hAnsi="Times New Roman" w:cs="Times New Roman" w:eastAsia="Times New Roman"/>
          <w:sz w:val="28"/>
          <w:szCs w:val="28"/>
          <w:lang w:val="kk-KZ"/>
        </w:rPr>
      </w:r>
    </w:p>
    <w:p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ның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М. Тә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киев</w:t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993" w:right="851" w:bottom="993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1"/>
    <w:uiPriority w:val="34"/>
    <w:qFormat/>
    <w:pPr>
      <w:contextualSpacing/>
      <w:ind w:left="720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character" w:styleId="663">
    <w:name w:val="Header Char"/>
    <w:basedOn w:val="812"/>
    <w:link w:val="827"/>
    <w:uiPriority w:val="99"/>
  </w:style>
  <w:style w:type="character" w:styleId="664">
    <w:name w:val="Footer Char"/>
    <w:basedOn w:val="812"/>
    <w:link w:val="829"/>
    <w:uiPriority w:val="99"/>
  </w:style>
  <w:style w:type="paragraph" w:styleId="665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829"/>
    <w:uiPriority w:val="99"/>
  </w:style>
  <w:style w:type="table" w:styleId="667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Calibri" w:hAnsi="Calibri" w:cs="Times New Roman" w:eastAsia="Calibri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uiPriority w:val="99"/>
    <w:qFormat/>
    <w:pPr>
      <w:spacing w:after="0" w:line="240" w:lineRule="auto"/>
    </w:pPr>
    <w:rPr>
      <w:rFonts w:ascii="Calibri" w:hAnsi="Calibri" w:cs="Times New Roman" w:eastAsia="Times New Roman"/>
      <w:lang w:eastAsia="ru-RU"/>
    </w:rPr>
  </w:style>
  <w:style w:type="character" w:styleId="816">
    <w:name w:val="Emphasis"/>
    <w:qFormat/>
    <w:rPr>
      <w:i/>
      <w:iCs/>
    </w:rPr>
  </w:style>
  <w:style w:type="paragraph" w:styleId="817">
    <w:name w:val="Plain Text"/>
    <w:basedOn w:val="811"/>
    <w:link w:val="818"/>
    <w:unhideWhenUsed/>
    <w:rPr>
      <w:rFonts w:ascii="Courier New" w:hAnsi="Courier New" w:cs="Courier New" w:eastAsia="Times New Roman"/>
      <w:iCs/>
      <w:sz w:val="20"/>
      <w:szCs w:val="20"/>
      <w:lang w:eastAsia="ru-RU"/>
    </w:rPr>
  </w:style>
  <w:style w:type="character" w:styleId="818" w:customStyle="1">
    <w:name w:val="Текст Знак"/>
    <w:basedOn w:val="812"/>
    <w:link w:val="817"/>
    <w:rPr>
      <w:rFonts w:ascii="Courier New" w:hAnsi="Courier New" w:cs="Courier New" w:eastAsia="Times New Roman"/>
      <w:iCs/>
      <w:sz w:val="20"/>
      <w:szCs w:val="20"/>
      <w:lang w:eastAsia="ru-RU"/>
    </w:rPr>
  </w:style>
  <w:style w:type="character" w:styleId="819" w:customStyle="1">
    <w:name w:val="Основной текст (3)"/>
    <w:basedOn w:val="812"/>
    <w:rPr>
      <w:rFonts w:ascii="Times New Roman" w:hAnsi="Times New Roman" w:cs="Times New Roman" w:eastAsia="Times New Roman"/>
      <w:b w:val="0"/>
      <w:bCs w:val="0"/>
      <w:i w:val="0"/>
      <w:iCs w:val="0"/>
      <w:smallCaps w:val="0"/>
      <w:strike w:val="false"/>
      <w:spacing w:val="0"/>
      <w:sz w:val="14"/>
      <w:szCs w:val="14"/>
    </w:rPr>
  </w:style>
  <w:style w:type="character" w:styleId="820">
    <w:name w:val="annotation reference"/>
    <w:basedOn w:val="812"/>
    <w:uiPriority w:val="99"/>
    <w:semiHidden/>
    <w:unhideWhenUsed/>
    <w:rPr>
      <w:sz w:val="16"/>
      <w:szCs w:val="16"/>
    </w:rPr>
  </w:style>
  <w:style w:type="paragraph" w:styleId="821">
    <w:name w:val="annotation text"/>
    <w:basedOn w:val="811"/>
    <w:link w:val="822"/>
    <w:uiPriority w:val="99"/>
    <w:semiHidden/>
    <w:unhideWhenUsed/>
    <w:rPr>
      <w:sz w:val="20"/>
      <w:szCs w:val="20"/>
    </w:rPr>
  </w:style>
  <w:style w:type="character" w:styleId="822" w:customStyle="1">
    <w:name w:val="Текст примечания Знак"/>
    <w:basedOn w:val="812"/>
    <w:link w:val="821"/>
    <w:uiPriority w:val="99"/>
    <w:semiHidden/>
    <w:rPr>
      <w:rFonts w:ascii="Calibri" w:hAnsi="Calibri" w:cs="Times New Roman" w:eastAsia="Calibri"/>
      <w:sz w:val="20"/>
      <w:szCs w:val="20"/>
    </w:rPr>
  </w:style>
  <w:style w:type="paragraph" w:styleId="823">
    <w:name w:val="annotation subject"/>
    <w:basedOn w:val="821"/>
    <w:next w:val="821"/>
    <w:link w:val="824"/>
    <w:uiPriority w:val="99"/>
    <w:semiHidden/>
    <w:unhideWhenUsed/>
    <w:rPr>
      <w:b/>
      <w:bCs/>
    </w:rPr>
  </w:style>
  <w:style w:type="character" w:styleId="824" w:customStyle="1">
    <w:name w:val="Тема примечания Знак"/>
    <w:basedOn w:val="822"/>
    <w:link w:val="823"/>
    <w:uiPriority w:val="99"/>
    <w:semiHidden/>
    <w:rPr>
      <w:rFonts w:ascii="Calibri" w:hAnsi="Calibri" w:cs="Times New Roman" w:eastAsia="Calibri"/>
      <w:b/>
      <w:bCs/>
      <w:sz w:val="20"/>
      <w:szCs w:val="20"/>
    </w:rPr>
  </w:style>
  <w:style w:type="paragraph" w:styleId="825">
    <w:name w:val="Balloon Text"/>
    <w:basedOn w:val="811"/>
    <w:link w:val="82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6" w:customStyle="1">
    <w:name w:val="Текст выноски Знак"/>
    <w:basedOn w:val="812"/>
    <w:link w:val="825"/>
    <w:uiPriority w:val="99"/>
    <w:semiHidden/>
    <w:rPr>
      <w:rFonts w:ascii="Segoe UI" w:hAnsi="Segoe UI" w:cs="Segoe UI" w:eastAsia="Calibri"/>
      <w:sz w:val="18"/>
      <w:szCs w:val="18"/>
    </w:rPr>
  </w:style>
  <w:style w:type="paragraph" w:styleId="827">
    <w:name w:val="Header"/>
    <w:basedOn w:val="811"/>
    <w:link w:val="82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28" w:customStyle="1">
    <w:name w:val="Верхний колонтитул Знак"/>
    <w:basedOn w:val="812"/>
    <w:link w:val="827"/>
    <w:uiPriority w:val="99"/>
    <w:rPr>
      <w:rFonts w:ascii="Calibri" w:hAnsi="Calibri" w:cs="Times New Roman" w:eastAsia="Calibri"/>
    </w:rPr>
  </w:style>
  <w:style w:type="paragraph" w:styleId="829">
    <w:name w:val="Footer"/>
    <w:basedOn w:val="811"/>
    <w:link w:val="83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0" w:customStyle="1">
    <w:name w:val="Нижний колонтитул Знак"/>
    <w:basedOn w:val="812"/>
    <w:link w:val="829"/>
    <w:uiPriority w:val="99"/>
    <w:rPr>
      <w:rFonts w:ascii="Calibri" w:hAnsi="Calibri" w:cs="Times New Roman" w:eastAsia="Calibri"/>
    </w:rPr>
  </w:style>
  <w:style w:type="paragraph" w:styleId="831">
    <w:name w:val="Body Text 2"/>
    <w:basedOn w:val="811"/>
    <w:link w:val="832"/>
    <w:uiPriority w:val="99"/>
    <w:unhideWhenUsed/>
    <w:pPr>
      <w:spacing w:after="120" w:line="480" w:lineRule="auto"/>
    </w:pPr>
  </w:style>
  <w:style w:type="character" w:styleId="832" w:customStyle="1">
    <w:name w:val="Основной текст 2 Знак"/>
    <w:basedOn w:val="812"/>
    <w:link w:val="831"/>
    <w:uiPriority w:val="99"/>
    <w:rPr>
      <w:rFonts w:ascii="Calibri" w:hAnsi="Calibri" w:cs="Times New Roman" w:eastAsia="Calibri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E6A4C7EF-4C9B-49D7-83BF-D01787194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Жунисбекова Роза Эпизотовна</cp:lastModifiedBy>
  <cp:revision>11</cp:revision>
  <dcterms:created xsi:type="dcterms:W3CDTF">2025-07-23T03:32:00Z</dcterms:created>
  <dcterms:modified xsi:type="dcterms:W3CDTF">2025-07-29T03:41:23Z</dcterms:modified>
</cp:coreProperties>
</file>